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258</w:t>
      </w:r>
    </w:p>
    <w:p>
      <w:r>
        <w:t>Bundesgericht (BGE), 1988-05-04, FR</w:t>
      </w:r>
    </w:p>
    <w:p>
      <w:r>
        <w:rPr>
          <w:b/>
        </w:rPr>
        <w:t xml:space="preserve">Quelle: </w:t>
      </w:r>
      <w:r>
        <w:t>https://mcp.opencaselaw.ch/entscheid/bge_114 II 258</w:t>
      </w:r>
    </w:p>
    <w:p>
      <w:r>
        <w:t>FR: ATF 114 II 258</w:t>
      </w:r>
    </w:p>
    <w:p>
      <w:r>
        <w:t>IT: DTF 114 II 258</w:t>
      </w:r>
    </w:p>
    <w:p>
      <w:pPr>
        <w:pStyle w:val="Heading2"/>
      </w:pPr>
      <w:r>
        <w:t>Regeste</w:t>
      </w:r>
    </w:p>
    <w:p>
      <w:r>
        <w:t>Regeste Art. 855 Abs. 1 ZGB und Art. 116 Abs. 1 OR. Trotz Novation gehen die dem Schuldner aus dem Grundgeschäft zustehenden Einreden nicht vollständig unter. Beruht die alte Verpflichtung auf einem Werkvertrag, kann der Besteller als Schuldner dem Unternehmer als Gläubiger gemäss Art. 872 ZGB insbesondere die Einreden aus Werkmängelgewährleistung entgegenhalten.</w:t>
      </w:r>
    </w:p>
    <w:p>
      <w:pPr>
        <w:pStyle w:val="Heading2"/>
      </w:pPr>
      <w:r>
        <w:t>Erwägungen</w:t>
      </w:r>
    </w:p>
    <w:p>
      <w:r>
        <w:rPr>
          <w:b/>
        </w:rPr>
        <w:t>E. 5</w:t>
      </w:r>
    </w:p>
    <w:p>
      <w:r>
        <w:t>c) La constitution d'une cédule hypothécaire éteint par novation l'obligation dont elle résulte (art. 855 al. 1 CC). Toute convention contraire n'a d'effet qu'entre parties et à l'égard des tiers de mauvaise foi (al. 2). La cour cantonale fait sienne l'opinion de GAUCH/SCHLUEP/TERCIER (Partie générale du droit des obligations, n. 1907) selon laquelle, nonobstant le texte de l'art. 855 al. 1 CC, cette disposition n'empêche pas le débiteur d'opposer à son créancier les exceptions qu'il a contre lui et qu'en conséquence, le système du fardeau de la preuve instauré à l'art. 116 al. 1 CO s'applique aussi. Sur ce point, la défenderesse se borne à renvoyer à l'art. 855 CC, sans se référer à l'arrêt attaqué ni indiquer en quoi consiste la violation du droit fédéral qu'elle invoque. On peut donc se demander si le recours satisfait à l'exigence de motivation de l'art. 55 al. 1 lettre c OJ. Quoi qu'il en soit, il est mal fondé. En effet, que l'on se rallie au point de vue de la cour cantonale ou à la conception selon laquelle l'art. 855 CC consacre une exception au principe de l'art. 116 CO (LEEMANN, n. 1 ad art. 855 CC; cf. aussi WIELAND, n. 1 lettre b ad art. 855 CC; KELLER/SCHÖBI, Das schweizerische Schuldrecht, t. IV, p. 195; VON TUHR/ESCHER, Allg. Teil des schweiz. Obligationenrechts, p. 182), les exceptions qui appartiennent au débiteur en raison de l'engagement initial ne s'éteignent pas de manière absolue et l'art. 872 CC lui permet de faire valoir les exceptions dérivant de l'inscription du titre et celles qu'il a personnellement contre le créancier poursuivant. Il peut ainsi invoquer celles qui découlent de la garantie que le vendeur doit selon les art. 212 ss et 219 CO (LEEMANN, n. 88 ad art. 855). WIELAND réserve aussi l'application de l'art. 872 CC (n. 1 lettre f ad art. 855). Il n'en va pas autrement en l'espèce, la cédule hypothécaire ayant été remise par le demandeur à un moment où l'ouvrage n'était pas achevé, le véhicule n'avait pas encore été livré et les prétentions du demandeur issues de la garantie des défauts de l'ouvrage n'étaient pas encore 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